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2C6" w:rsidRDefault="002472C6" w:rsidP="002472C6">
      <w:pPr>
        <w:pStyle w:val="a3"/>
      </w:pPr>
      <w:r>
        <w:rPr>
          <w:sz w:val="27"/>
          <w:szCs w:val="27"/>
        </w:rPr>
        <w:t>Учетная политика по исполнению бюджета Фонда социального страхования Российской Федерации Государственным учреждение</w:t>
      </w:r>
      <w:proofErr w:type="gramStart"/>
      <w:r>
        <w:rPr>
          <w:sz w:val="27"/>
          <w:szCs w:val="27"/>
        </w:rPr>
        <w:t>м-</w:t>
      </w:r>
      <w:proofErr w:type="gramEnd"/>
      <w:r>
        <w:rPr>
          <w:sz w:val="27"/>
          <w:szCs w:val="27"/>
        </w:rPr>
        <w:t xml:space="preserve"> Ульяновским региональным отделением Фонда социального страхования Российской Федерации на 2019 год утверждена приказом от 29.12.2018 № 1510</w:t>
      </w:r>
    </w:p>
    <w:p w:rsidR="002472C6" w:rsidRDefault="002472C6" w:rsidP="002472C6">
      <w:pPr>
        <w:pStyle w:val="a3"/>
      </w:pPr>
      <w:bookmarkStart w:id="0" w:name="_GoBack"/>
      <w:bookmarkEnd w:id="0"/>
      <w:r>
        <w:rPr>
          <w:sz w:val="27"/>
          <w:szCs w:val="27"/>
        </w:rPr>
        <w:t>Данной Учетной политикой утверждены:</w:t>
      </w:r>
    </w:p>
    <w:p w:rsidR="002472C6" w:rsidRDefault="002472C6" w:rsidP="002472C6">
      <w:pPr>
        <w:pStyle w:val="a3"/>
      </w:pPr>
      <w:r>
        <w:rPr>
          <w:sz w:val="27"/>
          <w:szCs w:val="27"/>
        </w:rPr>
        <w:t xml:space="preserve">- порядок и сроки проведения инвентаризации активов и обязательств, в том числе учитываемых на </w:t>
      </w:r>
      <w:proofErr w:type="spellStart"/>
      <w:r>
        <w:rPr>
          <w:sz w:val="27"/>
          <w:szCs w:val="27"/>
        </w:rPr>
        <w:t>забалансовых</w:t>
      </w:r>
      <w:proofErr w:type="spellEnd"/>
      <w:r>
        <w:rPr>
          <w:sz w:val="27"/>
          <w:szCs w:val="27"/>
        </w:rPr>
        <w:t xml:space="preserve"> счетах.</w:t>
      </w:r>
    </w:p>
    <w:p w:rsidR="002472C6" w:rsidRDefault="002472C6" w:rsidP="002472C6">
      <w:pPr>
        <w:pStyle w:val="a3"/>
      </w:pPr>
      <w:r>
        <w:t> (</w:t>
      </w:r>
      <w:r>
        <w:rPr>
          <w:sz w:val="27"/>
          <w:szCs w:val="27"/>
        </w:rPr>
        <w:t>Инвентаризации подлежит все имущество, финансовые активы и обязательства и иные объекты бухгалтерского учета регионального отделения);</w:t>
      </w:r>
    </w:p>
    <w:p w:rsidR="002472C6" w:rsidRDefault="002472C6" w:rsidP="002472C6">
      <w:pPr>
        <w:pStyle w:val="a3"/>
        <w:numPr>
          <w:ilvl w:val="0"/>
          <w:numId w:val="1"/>
        </w:numPr>
      </w:pPr>
      <w:r>
        <w:rPr>
          <w:sz w:val="27"/>
          <w:szCs w:val="27"/>
        </w:rPr>
        <w:t>порядок учета операций по расчетам со страхователями;</w:t>
      </w:r>
    </w:p>
    <w:p w:rsidR="002472C6" w:rsidRDefault="002472C6" w:rsidP="002472C6">
      <w:pPr>
        <w:pStyle w:val="a3"/>
        <w:numPr>
          <w:ilvl w:val="0"/>
          <w:numId w:val="1"/>
        </w:numPr>
      </w:pPr>
      <w:r>
        <w:rPr>
          <w:sz w:val="27"/>
          <w:szCs w:val="27"/>
        </w:rPr>
        <w:t>перечень событий после отчетной даты:</w:t>
      </w:r>
    </w:p>
    <w:p w:rsidR="002472C6" w:rsidRDefault="002472C6" w:rsidP="002472C6">
      <w:pPr>
        <w:pStyle w:val="a3"/>
      </w:pPr>
      <w:r>
        <w:rPr>
          <w:sz w:val="27"/>
          <w:szCs w:val="27"/>
        </w:rPr>
        <w:t>-изменение  кадастровой стоимости нефинансовых активов;</w:t>
      </w:r>
    </w:p>
    <w:p w:rsidR="002472C6" w:rsidRDefault="002472C6" w:rsidP="002472C6">
      <w:pPr>
        <w:pStyle w:val="a3"/>
      </w:pPr>
      <w:r>
        <w:rPr>
          <w:sz w:val="27"/>
          <w:szCs w:val="27"/>
        </w:rPr>
        <w:t>-возникновение право на недвижимое имущество после регистрации;</w:t>
      </w:r>
    </w:p>
    <w:p w:rsidR="002472C6" w:rsidRDefault="002472C6" w:rsidP="002472C6">
      <w:pPr>
        <w:pStyle w:val="a3"/>
      </w:pPr>
      <w:r>
        <w:rPr>
          <w:sz w:val="27"/>
          <w:szCs w:val="27"/>
        </w:rPr>
        <w:t>-оценка активов, результаты которой свидетельствуют об изменении их стоимости;</w:t>
      </w:r>
    </w:p>
    <w:p w:rsidR="002472C6" w:rsidRDefault="002472C6" w:rsidP="002472C6">
      <w:pPr>
        <w:pStyle w:val="a3"/>
      </w:pPr>
      <w:r>
        <w:rPr>
          <w:sz w:val="27"/>
          <w:szCs w:val="27"/>
        </w:rPr>
        <w:t>-обнаружение бухгалтерской ошибки, нарушение законодательства, которые влекут к искажению бухгалтерской отчетности;</w:t>
      </w:r>
    </w:p>
    <w:p w:rsidR="002472C6" w:rsidRDefault="002472C6" w:rsidP="002472C6">
      <w:pPr>
        <w:pStyle w:val="a3"/>
      </w:pPr>
      <w:r>
        <w:rPr>
          <w:sz w:val="27"/>
          <w:szCs w:val="27"/>
        </w:rPr>
        <w:t>-операции, связанные с приобретением и выбытием нефинансовых активов;</w:t>
      </w:r>
    </w:p>
    <w:p w:rsidR="002472C6" w:rsidRDefault="002472C6" w:rsidP="002472C6">
      <w:pPr>
        <w:pStyle w:val="a3"/>
      </w:pPr>
      <w:r>
        <w:rPr>
          <w:sz w:val="27"/>
          <w:szCs w:val="27"/>
        </w:rPr>
        <w:t>-чрезвычайные ситуации (пожар, авария, стихийное бедствие и другие) в результате которых может быть уничтожена значительная часть активов учреждения;</w:t>
      </w:r>
    </w:p>
    <w:p w:rsidR="002472C6" w:rsidRDefault="002472C6" w:rsidP="002472C6">
      <w:pPr>
        <w:pStyle w:val="a3"/>
      </w:pPr>
      <w:r>
        <w:rPr>
          <w:sz w:val="27"/>
          <w:szCs w:val="27"/>
        </w:rPr>
        <w:t>-другие.</w:t>
      </w:r>
    </w:p>
    <w:p w:rsidR="002472C6" w:rsidRDefault="002472C6" w:rsidP="002472C6">
      <w:pPr>
        <w:pStyle w:val="a3"/>
      </w:pPr>
      <w:r>
        <w:rPr>
          <w:sz w:val="27"/>
          <w:szCs w:val="27"/>
        </w:rPr>
        <w:t>Дату отражения указанных событий необходимо отразить в последний день отчетного периода датой первичного документа, подтверждающего событие после отчетной даты;</w:t>
      </w:r>
    </w:p>
    <w:p w:rsidR="002472C6" w:rsidRDefault="002472C6" w:rsidP="002472C6">
      <w:pPr>
        <w:pStyle w:val="a3"/>
        <w:numPr>
          <w:ilvl w:val="0"/>
          <w:numId w:val="2"/>
        </w:numPr>
      </w:pPr>
      <w:r>
        <w:rPr>
          <w:sz w:val="27"/>
          <w:szCs w:val="27"/>
        </w:rPr>
        <w:t>порядок проведения внутреннего контроля и внутреннего аудита Регионального отделения;</w:t>
      </w:r>
    </w:p>
    <w:p w:rsidR="002472C6" w:rsidRDefault="002472C6" w:rsidP="002472C6">
      <w:pPr>
        <w:pStyle w:val="a3"/>
        <w:numPr>
          <w:ilvl w:val="0"/>
          <w:numId w:val="2"/>
        </w:numPr>
      </w:pPr>
      <w:r>
        <w:rPr>
          <w:sz w:val="27"/>
          <w:szCs w:val="27"/>
        </w:rPr>
        <w:t>порядок проведения обесценения активов (справедливая стоимость определяется методом рыночных цен</w:t>
      </w:r>
      <w:proofErr w:type="gramStart"/>
      <w:r>
        <w:rPr>
          <w:sz w:val="27"/>
          <w:szCs w:val="27"/>
        </w:rPr>
        <w:t xml:space="preserve"> )</w:t>
      </w:r>
      <w:proofErr w:type="gramEnd"/>
      <w:r>
        <w:rPr>
          <w:sz w:val="27"/>
          <w:szCs w:val="27"/>
        </w:rPr>
        <w:t>.</w:t>
      </w:r>
    </w:p>
    <w:p w:rsidR="00DF4F0C" w:rsidRDefault="00DF4F0C"/>
    <w:sectPr w:rsidR="00DF4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C29B6"/>
    <w:multiLevelType w:val="multilevel"/>
    <w:tmpl w:val="F190A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E74030"/>
    <w:multiLevelType w:val="multilevel"/>
    <w:tmpl w:val="71FA1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2C6"/>
    <w:rsid w:val="002472C6"/>
    <w:rsid w:val="00DF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7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7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1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Котелевская Валентина Андреевна</dc:creator>
  <cp:lastModifiedBy>Котелевская Валентина Андреевна</cp:lastModifiedBy>
  <cp:revision>1</cp:revision>
  <dcterms:created xsi:type="dcterms:W3CDTF">2018-12-29T05:12:00Z</dcterms:created>
  <dcterms:modified xsi:type="dcterms:W3CDTF">2018-12-29T05:13:00Z</dcterms:modified>
</cp:coreProperties>
</file>