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Отдельные положения Учетной политики Государственного учреждения- Ульяновского регионального отделения Фонда социального страхования Российской Федерации на 2020 год</w:t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 xml:space="preserve">Утвержденной Приказом Государственного учреждения- Ульяновского регионального отделения Фонда социального страхования Российской </w:t>
      </w:r>
      <w:r>
        <w:rPr>
          <w:sz w:val="24"/>
          <w:b/>
          <w:shd w:fill="auto"/>
          <w:szCs w:val="24"/>
          <w:rFonts w:ascii="Times New Roman" w:cs="Times New Roman" w:hAnsi="Times New Roman"/>
        </w:rPr>
        <w:t xml:space="preserve">Федерации от </w:t>
      </w:r>
      <w:bookmarkStart w:id="0" w:name="_GoBack"/>
      <w:bookmarkEnd w:id="0"/>
      <w:r>
        <w:rPr>
          <w:sz w:val="24"/>
          <w:b/>
          <w:shd w:fill="auto"/>
          <w:szCs w:val="24"/>
          <w:rFonts w:ascii="Times New Roman" w:cs="Times New Roman" w:hAnsi="Times New Roman"/>
        </w:rPr>
      </w:r>
      <w:bookmarkStart w:id="1" w:name="_GoBack"/>
      <w:bookmarkEnd w:id="1"/>
      <w:r>
        <w:rPr>
          <w:sz w:val="24"/>
          <w:b/>
          <w:shd w:fill="auto"/>
          <w:szCs w:val="24"/>
          <w:rFonts w:ascii="Times New Roman" w:cs="Times New Roman" w:hAnsi="Times New Roman"/>
        </w:rPr>
        <w:t xml:space="preserve">30.12.2019г. № </w:t>
      </w:r>
      <w:r>
        <w:rPr>
          <w:sz w:val="24"/>
          <w:b/>
          <w:szCs w:val="24"/>
          <w:rFonts w:ascii="Times New Roman" w:cs="Times New Roman" w:hAnsi="Times New Roman"/>
        </w:rPr>
        <w:t>68-А</w:t>
      </w:r>
    </w:p>
    <w:p>
      <w:pPr>
        <w:pStyle w:val="style0"/>
        <w:jc w:val="both"/>
        <w:ind w:firstLine="709" w:left="0" w:right="0"/>
      </w:pPr>
      <w:r>
        <w:rPr>
          <w:sz w:val="24"/>
          <w:szCs w:val="24"/>
          <w:rFonts w:ascii="Times New Roman" w:cs="Times New Roman" w:hAnsi="Times New Roman"/>
        </w:rPr>
        <w:t>Учетная политика по исполнению бюджета Фонда социального страхования Российской Федерации Государственным учреждением- Ульяновским региональным отделением Фонда социального страхования Российской Федерации (далее – Учетная политика) устанавливает единство общих принципов исполнения бюджета Государственным учреждением- Ульяновским региональным отделением Фонда социального страхования Российской Федерации (далее – региональное отделение), организации и функционирования бюджетной системы, определяет порядок и методы ведения бюджетного учета и составления бюджетной отчетности по исполнению бюджета Фонда социального страхования Российской Федерации региональным отделением.</w:t>
      </w:r>
    </w:p>
    <w:p>
      <w:pPr>
        <w:pStyle w:val="style0"/>
        <w:jc w:val="center"/>
        <w:ind w:firstLine="709" w:left="0" w:right="0"/>
      </w:pPr>
      <w:r>
        <w:rPr>
          <w:sz w:val="24"/>
          <w:b/>
          <w:szCs w:val="24"/>
          <w:rFonts w:ascii="Times New Roman" w:cs="Times New Roman" w:hAnsi="Times New Roman"/>
        </w:rPr>
        <w:t>Методы оценки имущества и обязательств</w:t>
      </w:r>
    </w:p>
    <w:p>
      <w:pPr>
        <w:pStyle w:val="style0"/>
        <w:spacing w:after="0" w:before="0" w:line="100" w:lineRule="atLeast"/>
      </w:pPr>
      <w:r>
        <w:rPr>
          <w:sz w:val="24"/>
          <w:szCs w:val="24"/>
          <w:rFonts w:ascii="Times New Roman" w:cs="Times New Roman" w:hAnsi="Times New Roman"/>
        </w:rPr>
        <w:t xml:space="preserve">            </w:t>
      </w:r>
      <w:r>
        <w:rPr>
          <w:sz w:val="24"/>
          <w:szCs w:val="24"/>
          <w:rFonts w:ascii="Times New Roman" w:cs="Times New Roman" w:hAnsi="Times New Roman"/>
        </w:rPr>
        <w:t>Согласно пункту 2 статьи 12 Закона № 402-ФЗ и пункту 13 Инструкции</w:t>
      </w:r>
    </w:p>
    <w:p>
      <w:pPr>
        <w:pStyle w:val="style0"/>
        <w:spacing w:after="0" w:before="0" w:line="100" w:lineRule="atLeast"/>
      </w:pPr>
      <w:r>
        <w:rPr>
          <w:sz w:val="24"/>
          <w:szCs w:val="24"/>
          <w:rFonts w:ascii="Times New Roman" w:cs="Times New Roman" w:hAnsi="Times New Roman"/>
        </w:rPr>
        <w:t xml:space="preserve">№ </w:t>
      </w:r>
      <w:r>
        <w:rPr>
          <w:sz w:val="24"/>
          <w:szCs w:val="24"/>
          <w:rFonts w:ascii="Times New Roman" w:cs="Times New Roman" w:hAnsi="Times New Roman"/>
        </w:rPr>
        <w:t>157н бухгалтерский учет в Фонде ведется в валюте Российской Федерации</w:t>
      </w:r>
    </w:p>
    <w:p>
      <w:pPr>
        <w:pStyle w:val="style0"/>
        <w:spacing w:after="0" w:before="0" w:line="100" w:lineRule="atLeast"/>
      </w:pPr>
      <w:r>
        <w:rPr>
          <w:sz w:val="24"/>
          <w:szCs w:val="24"/>
          <w:rFonts w:ascii="Times New Roman" w:cs="Times New Roman" w:hAnsi="Times New Roman"/>
        </w:rPr>
        <w:t>- в рублях. Недопустимо наличие в учете объектов без указания цены.</w:t>
      </w:r>
    </w:p>
    <w:p>
      <w:pPr>
        <w:pStyle w:val="style0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Стоимость объектов учета, выраженная в иностранной валюте,</w:t>
      </w:r>
    </w:p>
    <w:p>
      <w:pPr>
        <w:pStyle w:val="style0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подлежит пересчету в валюту Российской Федерации (рублевый эквивалент).</w:t>
      </w:r>
    </w:p>
    <w:p>
      <w:pPr>
        <w:pStyle w:val="style0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Объекты учета, стоимость которых выражена в иностранной валюте,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принимаются к бухгалтерскому учету в рублевом эквиваленте, исчисленном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на дату совершения операции ( на отчетную дату) путем пересчета суммы в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иностранной валюте по официальному курсу Центрального банка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Российской Федерации соответствующих иностранных валют по отношению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к рублю, при отсутствии официального курса - по курсу, рассчитанному по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котировкам иностранной валюты на международных валютных рынках или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по устанавливаемым центральными (национальными) банками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соответствующих государств курсам, к любой третьей валюте, официальный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курс которой по отношению к рублю, устанавливается Центральным банком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Российской Федерации.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Документирование операций с имуществом, обязательствами, а также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иных фактов хозяйственной деятельности, ведение регистров бухгалтерского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учета осуществляется на русском языке.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Первичные учетные документы, составленные на иных языках, должны</w:t>
      </w:r>
    </w:p>
    <w:p>
      <w:pPr>
        <w:pStyle w:val="style0"/>
        <w:jc w:val="both"/>
        <w:spacing w:after="0" w:before="0" w:line="100" w:lineRule="atLeast"/>
      </w:pPr>
      <w:r>
        <w:rPr>
          <w:sz w:val="24"/>
          <w:shd w:fill="auto"/>
          <w:szCs w:val="24"/>
          <w:rFonts w:ascii="Times New Roman" w:cs="Times New Roman" w:hAnsi="Times New Roman"/>
        </w:rPr>
        <w:t>иметь построчный перевод на русский язык.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rFonts w:ascii="Times New Roman" w:cs="Times New Roman" w:hAnsi="Times New Roman"/>
        </w:rPr>
        <w:t>Оценка имущества и обязательств производится по текущей справедливой стоимости в случаях: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принятия к учету непроизведенных активов, впервые вовлекаемых в хозяйственный оборот;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получения нефинансовых активов по договорам дарения;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выявления при инвентаризации неучтенных объектов нефинансовых активов;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остающихся у регионального отделения материальных запасов в результате разборки,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утилизации (ликвидации) основных средств или иного имущества;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причиненного недостачами, хищениями размера ущерба (дебиторской задолженности по возмещению ущерба).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</w:t>
      </w:r>
      <w:r>
        <w:rPr>
          <w:sz w:val="24"/>
          <w:szCs w:val="24"/>
          <w:rFonts w:ascii="Times New Roman" w:cs="Times New Roman" w:hAnsi="Times New Roman"/>
        </w:rPr>
        <w:t xml:space="preserve">Согласно пункту 25 Инструкции № 157н определение текущей оценочной стоимости нефинансового актива осуществляется методом рыночных цен на основании </w:t>
      </w:r>
      <w:r>
        <w:rPr>
          <w:sz w:val="24"/>
          <w:szCs w:val="24"/>
          <w:rFonts w:ascii="Times New Roman" w:cs="Times New Roman" w:hAnsi="Times New Roman"/>
        </w:rPr>
        <w:t xml:space="preserve">данных о сделках с аналогичным или схожим активом, совершенных без отсрочки платежа, и определяется в сумме денежных средств, необходимых при продаже (приобретении) указанных активов на дату принятия к учету.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При определении текущей справедливой стоимости используются: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данные о ценах на аналогичные материальные ценности, полученные в письменной форме от организаций-изготовителей;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сведения об уровне цен, имеющиеся у органов государственной статистики;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сведения об уровне цен, имеющиеся в средствах массовой информации и специальной литературе;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экспертные заключения (в том числе экспертов, привлеченных на добровольных началах к работе в комиссии по поступлению и выбытию имущества) о стоимости отдельных (аналогичных) объектов нефинансовых активов;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в случае, если для показателя, необходимого для ведения бухгалтерского учета, не установлен метод оценки законодательно, величина оценочного показателя может определяться профессиональным суждением главного бухгалтера или его заместителя.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  <w:lang w:eastAsia="ru-RU"/>
        </w:rPr>
        <w:t>Порядок проведения инвентаризации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  <w:lang w:eastAsia="ru-RU"/>
        </w:rPr>
        <w:t>в</w:t>
      </w:r>
      <w:r>
        <w:rPr>
          <w:sz w:val="24"/>
          <w:spacing w:val="-9"/>
          <w:b/>
          <w:szCs w:val="24"/>
          <w:rFonts w:ascii="Times New Roman" w:cs="Times New Roman" w:hAnsi="Times New Roman"/>
          <w:lang w:eastAsia="ru-RU"/>
        </w:rPr>
        <w:t xml:space="preserve"> Региональном отделении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  <w:lang w:eastAsia="ru-RU" w:val="en-US"/>
        </w:rPr>
        <w:t>I</w:t>
      </w:r>
      <w:r>
        <w:rPr>
          <w:sz w:val="24"/>
          <w:b/>
          <w:szCs w:val="24"/>
          <w:rFonts w:ascii="Times New Roman" w:cs="Times New Roman" w:hAnsi="Times New Roman"/>
          <w:lang w:eastAsia="ru-RU"/>
        </w:rPr>
        <w:t>. Организация и проведение инвентаризации</w:t>
      </w:r>
    </w:p>
    <w:p>
      <w:pPr>
        <w:pStyle w:val="style24"/>
        <w:jc w:val="center"/>
      </w:pPr>
      <w:r>
        <w:rPr>
          <w:strike/>
          <w:sz w:val="24"/>
          <w:b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       </w:t>
      </w: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имущества, финансовых активов и обязательств, иных объектов бухгалтерского учета, в том числе на забалансовых счетах Фонда, исполнительных органов Фонда проводится в соответствии со статьей 11 Закона № 402 «О бухгалтерском учете», пунктом 80 Стандарта «Концептуальные основы».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Проведение инвентаризации обязательно: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-</w:t>
      </w:r>
      <w:r>
        <w:rPr>
          <w:sz w:val="24"/>
          <w:szCs w:val="24"/>
          <w:rFonts w:ascii="Times New Roman" w:cs="Times New Roman" w:hAnsi="Times New Roman"/>
          <w:lang w:eastAsia="ru-RU" w:val="en-US"/>
        </w:rPr>
        <w:t> </w:t>
      </w:r>
      <w:r>
        <w:rPr>
          <w:sz w:val="24"/>
          <w:szCs w:val="24"/>
          <w:rFonts w:ascii="Times New Roman" w:cs="Times New Roman" w:hAnsi="Times New Roman"/>
          <w:lang w:eastAsia="ru-RU"/>
        </w:rPr>
        <w:t>при передаче (возврате) имущества организации во безвозмездное пользование, выкупе, продаже;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-</w:t>
      </w:r>
      <w:r>
        <w:rPr>
          <w:sz w:val="24"/>
          <w:szCs w:val="24"/>
          <w:rFonts w:ascii="Times New Roman" w:cs="Times New Roman" w:hAnsi="Times New Roman"/>
          <w:lang w:eastAsia="ru-RU" w:val="en-US"/>
        </w:rPr>
        <w:t> </w:t>
      </w:r>
      <w:r>
        <w:rPr>
          <w:sz w:val="24"/>
          <w:szCs w:val="24"/>
          <w:rFonts w:ascii="Times New Roman" w:cs="Times New Roman" w:hAnsi="Times New Roman"/>
          <w:lang w:eastAsia="ru-RU"/>
        </w:rPr>
        <w:t>перед составлением годовой бюджетной отчетности, кроме имущества, инвентаризация которого проводилась не ранее 1 октября отчетного года;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-</w:t>
      </w:r>
      <w:r>
        <w:rPr>
          <w:sz w:val="24"/>
          <w:szCs w:val="24"/>
          <w:rFonts w:ascii="Times New Roman" w:cs="Times New Roman" w:hAnsi="Times New Roman"/>
          <w:lang w:eastAsia="ru-RU" w:val="en-US"/>
        </w:rPr>
        <w:t> </w:t>
      </w:r>
      <w:r>
        <w:rPr>
          <w:sz w:val="24"/>
          <w:szCs w:val="24"/>
          <w:rFonts w:ascii="Times New Roman" w:cs="Times New Roman" w:hAnsi="Times New Roman"/>
          <w:lang w:eastAsia="ru-RU"/>
        </w:rPr>
        <w:t>при смене материально ответственных лиц (на день приемки - передачи дел);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-</w:t>
      </w:r>
      <w:r>
        <w:rPr>
          <w:sz w:val="24"/>
          <w:szCs w:val="24"/>
          <w:rFonts w:ascii="Times New Roman" w:cs="Times New Roman" w:hAnsi="Times New Roman"/>
          <w:lang w:eastAsia="ru-RU" w:val="en-US"/>
        </w:rPr>
        <w:t> </w:t>
      </w:r>
      <w:r>
        <w:rPr>
          <w:sz w:val="24"/>
          <w:szCs w:val="24"/>
          <w:rFonts w:ascii="Times New Roman" w:cs="Times New Roman" w:hAnsi="Times New Roman"/>
          <w:lang w:eastAsia="ru-RU"/>
        </w:rPr>
        <w:t>при установлении фактов хищений или злоупотреблений, а также порчи имущества;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-</w:t>
      </w:r>
      <w:r>
        <w:rPr>
          <w:sz w:val="24"/>
          <w:szCs w:val="24"/>
          <w:rFonts w:ascii="Times New Roman" w:cs="Times New Roman" w:hAnsi="Times New Roman"/>
          <w:lang w:eastAsia="ru-RU" w:val="en-US"/>
        </w:rPr>
        <w:t> </w:t>
      </w:r>
      <w:r>
        <w:rPr>
          <w:sz w:val="24"/>
          <w:szCs w:val="24"/>
          <w:rFonts w:ascii="Times New Roman" w:cs="Times New Roman" w:hAnsi="Times New Roman"/>
          <w:lang w:eastAsia="ru-RU"/>
        </w:rPr>
        <w:t>в случае стихийных бедствий, пожара, аварий или других чрезвычайных ситуаций, вызванных экстремальными условиями;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-</w:t>
      </w:r>
      <w:r>
        <w:rPr>
          <w:sz w:val="24"/>
          <w:szCs w:val="24"/>
          <w:rFonts w:ascii="Times New Roman" w:cs="Times New Roman" w:hAnsi="Times New Roman"/>
          <w:lang w:eastAsia="ru-RU" w:val="en-US"/>
        </w:rPr>
        <w:t> </w:t>
      </w:r>
      <w:r>
        <w:rPr>
          <w:sz w:val="24"/>
          <w:szCs w:val="24"/>
          <w:rFonts w:ascii="Times New Roman" w:cs="Times New Roman" w:hAnsi="Times New Roman"/>
          <w:lang w:eastAsia="ru-RU"/>
        </w:rPr>
        <w:t>при ликвидации (реорганизации) перед составлением ликвидационного (разделительного) баланса и в других случаях, предусматриваемых законодательством Российской Федерации или иными нормативными правовыми актами Российской Федерации.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Проведение инвентаризации в отчетном году устанавливается руководителем регионально отделения.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Инвентаризация имущества регионального отделения производится по его местонахождению и каждому материально ответственному лицу.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Проведение инвентаризации возлагается на комиссию по поступлению и выбытию имущества (далее – комиссия), состав которой утверждается приказом (постановлением, распоряжением) руководителя регионального отделения.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Решение о проведении инвентаризации оформляется приказом регионального отделения. 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val="en-US"/>
        </w:rPr>
        <w:t>II</w:t>
      </w:r>
      <w:r>
        <w:rPr>
          <w:sz w:val="24"/>
          <w:b/>
          <w:szCs w:val="24"/>
          <w:bCs/>
          <w:rFonts w:ascii="Times New Roman" w:cs="Times New Roman" w:hAnsi="Times New Roman"/>
        </w:rPr>
        <w:t xml:space="preserve">. </w:t>
      </w:r>
      <w:r>
        <w:rPr>
          <w:sz w:val="24"/>
          <w:b/>
          <w:szCs w:val="24"/>
          <w:bCs/>
          <w:rFonts w:ascii="Times New Roman" w:cs="Times New Roman" w:hAnsi="Times New Roman"/>
          <w:lang w:val="en-US"/>
        </w:rPr>
        <w:t>Сроки проведения инвентаризации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    </w:t>
      </w: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проводится в следующие сроки: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зданий, сооружений, передаточных устройств и остальных основных средств - 1 раз в год на 1 октября.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непроизведенных активов - 1 раз в год на 1 октября.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нематериальных активов - 1 раз в год на 1 октября.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финансовых вложений - 1 раз в год на 1 октября.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материальных запасов - 1 раз в год на 1 октября.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капитальных вложений - 1 раз в год на 1 октября,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в том числе: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незавершенного производства</w:t>
        <w:tab/>
        <w:t>- 1 раз в год на 1 октября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денежных средств, денежных документов и бланков строгой отчетности – 1 раз в квартал.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расчетов, расходов будущих периодов, резервов предстоящих расходов  – 1 раз в год, перед составлением годовой бухгалтерской отчетности по состоянию на 1 января.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Внезапные инвентаризации всех видов имущества при необходимости в соответствии с приказом руководителя регионального отделения.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Инвентаризация расчетов с бюджетом – ежегодно и по мере необходимости путем сверки расчетов с ИФНС по месту регистрации.  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 w:val="en-US"/>
        </w:rPr>
        <w:t>III</w:t>
      </w: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>. Инвентаризация основных средств и</w:t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>нематериальных активов</w:t>
      </w:r>
    </w:p>
    <w:p>
      <w:pPr>
        <w:pStyle w:val="style24"/>
        <w:jc w:val="center"/>
      </w:pPr>
      <w:r>
        <w:rPr>
          <w:sz w:val="24"/>
          <w:i/>
          <w:b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   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До начала инвентаризации проверяется: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наличие и состояние инвентарных карточек, инвентарных книг, описей и других регистров аналитического учета;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наличие и состояние технических паспортов или другой технической документации;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наличие документов на основные средства, принятые организацией в аренду и на хранение. При отсутствии документов необходимо обеспечить их получение или оформление.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 обнаружении расхождений и неточностей в регистрах бюджетного учета или технической документации вносятся соответствующие исправления и уточнения.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При инвентаризации основных средств комиссия производит осмотр объектов и заносит данные в Инвентаризационную опись (сличительная ведомость) по объектам нефинансовых активов (форма 0504087) (далее – Инвентаризационная опись), форма которой утверждена Приказом № 52н.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При оформлении Инвентаризационной описи по основным средствам графа 8 «статус объекта учета» и графа 9 «целевая функция актива» заполняются по наименованию.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Графа 8 «статус объекта учета» - по наименованию статуса объекта учета: «в эксплуатации», «не соответствует требованиям эксплуатации», «требуется ремонт», «иное» (с указанием конкретного наименования).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Графа 9 «целевая функция актива» - по наименованию целевой функции актива: «использовать», «ремонт», «списание», «утилизация», «иное» (с указанием конкретного наименования).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 инвентаризации зданий, сооружений и другой недвижимости комиссия проверяет наличие документов, подтверждающих нахождение указанных объектов в собственности организации.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Проверяется наличие документов на земельные участки.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 выявлении объектов, не принятых на учет, а также объектов, по которым в регистрах бюджетного учета отсутствуют или указаны неправильные данные, характеризующие их, комиссия включает в Инвентаризационную опись правильные сведения и по этим объектам.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Оценка выявленных инвентаризацией неучтенных объектов производится экспертами.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Основные средства вносятся в Инвентаризационную опись по наименованиям в соответствии с основным назначением объекта. Если объект подвергся восстановлению, реконструкции, расширению или переоборудованию и вследствие этого изменилось основное его назначение, то он вносится в Инвентаризационную опись под наименованием, соответствующим новому назначению.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Если комиссией установлено, что работы капитального характера (надстройка этажей, пристройка новых помещений и др.) или частичная ликвидация строений и сооружений (слом отдельных конструктивных элементов) не отражены в бюджетном учете, необходимо по соответствующим документам определить сумму увеличения или снижения балансовой стоимости объекта и указать в Инвентаризационной описи данные о произведенных изменениях. Для этих целей привлекаются эксперты.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Однотипные предметы хозяйственного инвентаря, инструменты, станки и т.д. одинаковой стоимости, поступившие одновременно в одно из структурных подразделений организации и учитываемые на типовой инвентарной карточке группового учета, в Инвентаризационной описи приводятся по наименованиям с указанием количества этих предметов. 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При инвентаризации нематериальных активов проверяется: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наличие документов, подтверждающих права организации на их использование;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 правильность и своевременность отражения нематериальных активов в балансе. 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 w:val="en-US"/>
        </w:rPr>
        <w:t>IV</w:t>
      </w: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>. Инвентаризация материальных запасов</w:t>
      </w:r>
    </w:p>
    <w:p>
      <w:pPr>
        <w:pStyle w:val="style24"/>
        <w:jc w:val="both"/>
      </w:pPr>
      <w:r>
        <w:rPr>
          <w:sz w:val="24"/>
          <w:i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Материальные запасы заносятся в Инвентаризационную опись по каждому отдельному наименованию с указанием вида, группы, количества и других необходимых данных (артикула, сорта и др.).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При оформлении Инвентаризационной описи по материальным запасам графа 8 «статус объекта учета» и графа 9 «целевая функция актива» заполняются по наименованию.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Графа 8 «статус объекта учета» - по наименованию статуса объекта учета: «в запасе (для использования)», «поврежден», «иное» (с указанием конкретного наименования).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Графа 9 «целевая функция актива» - по наименованию целевой функции актива: «использовать», «списание», «иное» (с указанием конкретного наименования).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 хранении материальных запасов в разных изолированных помещениях у одного материально ответственного лица инвентаризация проводится последовательно по местам хранения.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После проверки ценностей вход в помещение не допускается (опечатывается) и комиссия переходит для работы в следующее помещение.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Комиссия в присутствии материально ответственных лиц проверяет фактическое наличие материальных запасов путем обязательного их пересчета, перевешивания или измерения.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Не допускается вносить в Инвентаризационную опись данные об остатках материальных запасов со слов материально ответственных лиц или по данным учета без проверки их фактического наличия.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Материальные запасы, поступающие во время проведения инвентаризации, принимаются материально ответственными лицами в присутствии членов комиссии и приходуются по реестру или товарному отчету после инвентаризации.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Материальные запасы, хранящиеся на складах других организаций, заносятся в Инвентаризационную опись на основании документов, подтверждающих сдачу этих ценностей. В Инвентаризационной описи на эти ценности указываются их наименование, количество, стоимость (по данным учета), дата принятия груза на хранение, место хранения, номера и даты документов.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 w:val="en-US"/>
        </w:rPr>
        <w:t>V</w:t>
      </w: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>. Инвентаризация вложений в нефинансовые активы</w:t>
      </w:r>
    </w:p>
    <w:p>
      <w:pPr>
        <w:pStyle w:val="style24"/>
        <w:jc w:val="center"/>
      </w:pPr>
      <w:r>
        <w:rPr>
          <w:sz w:val="24"/>
          <w:i/>
          <w:b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   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По вложениям в нефинансовые активы в Инвентаризационной описи указывается наименование объекта и объем выполненных работ по этому объекту, по каждому отдельному виду работ, конструктивным элементам, оборудованию и т.п. При этом проверяется: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 не числится ли в составе вложений в нефинансовые активы оборудование, переданное в монтаж, но фактически не начатое монтажом;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- состояние законсервированных и временно прекращенных строительством объектов.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По этим объектам, в частности, необходимо выявить причины и основание для их консервации.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На законченные вложения в нефинансовые активы, фактически введенные в эксплуатацию полностью или частично, приемка и ввод в действие которых не оформлены надлежащими документами, составляется отдельная Инвентаризационная опись. Отдельные Инвентаризационные описи составляются также на законченные, но почему-либо не введенные в эксплуатацию объекты.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На прекращенные строительством объекты, а также на проектно-изыскательские работы по неосуществленному строительству составляется Инвентаризационная опись, в которой приводятся данные о характере выполненных работ и их стоимости. Для этого должны использоваться соответствующая техническая документация (чертежи, сметы, сметно-финансовые расчеты), акты сдачи работ, этапов, журналы учета выполненных работ на объектах строительства и другая документация.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При оформлении Инвентаризационной описи по объектам незавершенного строительства графа 8 «статус объекта учета» и графа 9 «целевая функция актива» заполняются по наименованию.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Графа 8 «статус объекта учета» - по наименованию статуса объекта учета: «строительство (приобретение) ведется», «строительство объекта приостановлено», «иное» (с указанием конкретного наименования).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Графа 9 «целевая функция актива» по наименованию целевой функции актива: «завершение строительства (реконструкции), «консервация объекта», «продажа (передача)», «иное» (с указанием конкретного наименования).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 w:val="en-US"/>
        </w:rPr>
        <w:t>VI</w:t>
      </w: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>. Инвентаризация денежных средств, денежных документов и бланков строгой отчетности</w:t>
      </w:r>
    </w:p>
    <w:p>
      <w:pPr>
        <w:pStyle w:val="style24"/>
        <w:jc w:val="both"/>
      </w:pPr>
      <w:r>
        <w:rPr>
          <w:sz w:val="24"/>
          <w:i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         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 государственной пошлины, вексельные марки, путевки в санатории, авиабилеты и др.).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Проверка фактического наличия бланков ценных бумаг и других бланков строгой отчетности производится по видам бланков, с учетом начальных и конечных номеров тех или иных бланков, а также по каждому месту хранения и материально ответственным лицам.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Остаток денежной наличности в кассе сверяется с данными учета по кассовой книге.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Инвентаризация денежных средств в пути производится методом сверки числящихся сумм на счетах бюджетного учета с данными квитанций учреждения банка, почтового отделения, копий сопроводительных ведомостей на сдачу выручки инкассаторам банка и т.п.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Инвентаризация денежных средств, находящихся в банках на расчетном (текущем), валютном и специальных счетах, производится путем сверки остатков сумм, числящихся на соответствующих счетах бюджетного учета, с данными выписок банков. 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 w:val="en-US"/>
        </w:rPr>
        <w:t>VII</w:t>
      </w: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>. Инвентаризация финансовых вложений</w:t>
      </w:r>
    </w:p>
    <w:p>
      <w:pPr>
        <w:pStyle w:val="style24"/>
        <w:jc w:val="both"/>
      </w:pPr>
      <w:r>
        <w:rPr>
          <w:sz w:val="24"/>
          <w:i/>
          <w:b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 инвентаризации финансовых вложений проверяются фактические затраты в финансовые вложения.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 проверке фактического наличия ценных бумаг устанавливается: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правильность оформления ценных бумаг;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 реальность стоимости учтенных на балансе ценных бумаг;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сохранность ценных бумаг (путем сопоставления фактического наличия с данными бюджетного учета);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своевременность и полнота отражения в бюджетном учете полученных доходов по ценным бумагам.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Инвентаризация ценных бумаг проводится одновременно с инвентаризацией денежных средств в кассе.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Инвентаризация ценных бумаг проводится по отдельным эмитентам с указанием в акте названия, серии, номера, номинальной и фактической стоимости, сроков гашения и общей суммы.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Реквизиты каждой ценной бумаги сопоставляются с данными описей (реестров, книг), хранящихся в бухгалтерии организации.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Инвентаризация ценных бумаг, сданных на хранение в специальные организации (банк - депозитарий - специализированное хранилище ценных бумаг и др.), заключается в сверке остатков сумм, числящихся на соответствующих счетах бюджетного учета, с данными выписок этих специальных организаций.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 w:val="en-US"/>
        </w:rPr>
        <w:t>VIII</w:t>
      </w: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>. Инвентаризация расчетов</w:t>
      </w:r>
    </w:p>
    <w:p>
      <w:pPr>
        <w:pStyle w:val="style24"/>
        <w:jc w:val="both"/>
      </w:pPr>
      <w:r>
        <w:rPr>
          <w:sz w:val="24"/>
          <w:i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  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Инвентаризация расчетов с кредитными учреждениями, с бюджетом, покупателями, поставщиками, подотчетными лицами, работниками, депонентами, другими дебиторами и кредиторами заключается в проверке обоснованности сумм, числящихся на счетах бюджетного учета.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По задолженности работникам организации выявляются невыплаченные суммы по оплате труда, подлежащие перечислению на счет депонентов, а также суммы и причины возникновения переплат работникам.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 инвентаризации подотчетных сумм проверяются отчеты подотчетных лиц по выданным авансам с учетом их целевого использования, а также суммы выданных авансов по каждому подотчетному лицу (даты выдачи, целевое назначение).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Инвентаризационная комиссия устанавливает: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правильность расчетов с банками, финансовыми, налоговыми органами, внебюджетными фондами, другими организациями, а также со структурными подразделениями, выделенными на отдельные балансы;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правильность и обоснованность числящейся в бюджетном учете суммы задолженности по недостачам и хищениям;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- 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 w:val="en-US"/>
        </w:rPr>
        <w:t>IX</w:t>
      </w: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 xml:space="preserve">. Инвентаризация </w:t>
      </w:r>
      <w:r>
        <w:rPr>
          <w:sz w:val="24"/>
          <w:b/>
          <w:szCs w:val="24"/>
          <w:rFonts w:ascii="Times New Roman" w:cs="Times New Roman" w:hAnsi="Times New Roman"/>
          <w:lang w:eastAsia="ru-RU"/>
        </w:rPr>
        <w:t>расходов будущих периодов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  <w:lang w:eastAsia="ru-RU"/>
        </w:rPr>
        <w:t>и резервов предстоящих расходов</w:t>
      </w:r>
    </w:p>
    <w:p>
      <w:pPr>
        <w:pStyle w:val="style24"/>
        <w:jc w:val="center"/>
      </w:pPr>
      <w:r>
        <w:rPr>
          <w:sz w:val="24"/>
          <w:i/>
          <w:u w:val="single"/>
          <w:b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  <w:lang w:eastAsia="ru-RU"/>
        </w:rPr>
        <w:t xml:space="preserve">     </w:t>
      </w:r>
      <w:r>
        <w:rPr>
          <w:sz w:val="24"/>
          <w:szCs w:val="24"/>
          <w:bCs/>
          <w:rFonts w:ascii="Times New Roman" w:cs="Times New Roman" w:hAnsi="Times New Roman"/>
          <w:lang w:eastAsia="ru-RU"/>
        </w:rPr>
        <w:t xml:space="preserve">Инвентаризация 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расходов будущих периодов и резервов предстоящих расходов заключается в проверке обоснованности сумм, числящихся на счетах бюджетного учета. </w:t>
      </w:r>
      <w:r>
        <w:rPr>
          <w:sz w:val="24"/>
          <w:szCs w:val="24"/>
          <w:rFonts w:ascii="Times New Roman" w:cs="Times New Roman" w:hAnsi="Times New Roman"/>
          <w:lang w:eastAsia="ru-RU"/>
        </w:rPr>
        <w:t>Инвентаризационная комиссия устанавливает правильность и обоснованность сумм, числящихся на соответствующих счетах.</w:t>
      </w:r>
    </w:p>
    <w:p>
      <w:pPr>
        <w:pStyle w:val="style24"/>
        <w:jc w:val="both"/>
      </w:pPr>
      <w:r>
        <w:rPr>
          <w:sz w:val="24"/>
          <w:i/>
          <w:u w:val="single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bCs/>
          <w:rFonts w:ascii="Times New Roman" w:cs="Times New Roman" w:hAnsi="Times New Roman"/>
          <w:lang w:eastAsia="ru-RU" w:val="en-US"/>
        </w:rPr>
        <w:t>X</w:t>
      </w:r>
      <w:r>
        <w:rPr>
          <w:sz w:val="24"/>
          <w:b/>
          <w:szCs w:val="24"/>
          <w:bCs/>
          <w:rFonts w:ascii="Times New Roman" w:cs="Times New Roman" w:hAnsi="Times New Roman"/>
          <w:lang w:eastAsia="ru-RU"/>
        </w:rPr>
        <w:t>. Оформление результатов инвентаризации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 xml:space="preserve">       </w:t>
      </w:r>
      <w:r>
        <w:rPr>
          <w:sz w:val="24"/>
          <w:szCs w:val="24"/>
          <w:rFonts w:ascii="Times New Roman" w:cs="Times New Roman" w:hAnsi="Times New Roman"/>
          <w:lang w:eastAsia="ru-RU"/>
        </w:rPr>
        <w:t>Результаты инвентаризации отражаются в бюджетном учете и отчетности того месяца, в котором была закончена инвентаризация, а по годовой инвентаризации – в годовой бюджетной отчетности.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Данные результатов проведенной инвентаризации обобщаются в Инвентаризационной описи и в Ведомости расхождений по результатам инвентаризации (ф. 0504092) в случае наличия таковых, на основании которых составляется Акт о результатах инвентаризации имущества и обязательств (ф. 0504835).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В случае наличия расхождений по результатам инвентаризации и по результатам рассмотрения Акта о результатах инвентаризации имущества и обязательств, руководитель регионального отделения издает приказ, в котором отражаются: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– 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результат проведения инвентаризации;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– 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указания бухгалтерской службе об отражении результатов инвентаризации в бюджетном учете и отчетности;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– </w:t>
      </w:r>
      <w:r>
        <w:rPr>
          <w:sz w:val="24"/>
          <w:szCs w:val="24"/>
          <w:rFonts w:ascii="Times New Roman" w:cs="Times New Roman" w:hAnsi="Times New Roman"/>
          <w:lang w:eastAsia="ru-RU"/>
        </w:rPr>
        <w:t xml:space="preserve">привлечение к ответственности материально-ответственных лиц в случае недостач и излишков.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  <w:t>Данные по результатам инвентаризации расходов будущих периодов и резервов предстоящих расходов оформляются в инвентаризационной описи в соответствии с приложением к настоящей Учетной политики.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События после отчетной даты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</w:t>
      </w:r>
      <w:r>
        <w:rPr>
          <w:sz w:val="24"/>
          <w:szCs w:val="24"/>
          <w:rFonts w:ascii="Times New Roman" w:cs="Times New Roman" w:hAnsi="Times New Roman"/>
        </w:rPr>
        <w:t>Данные бухгалтерского учета и сформированная на их основе отчетность регионального отделения формируются с учетом существенности фактов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имели место в период между отчетной датой и датой подписания бухгалтерской (финансовой) отчетности за отчетный год. Такие факты являются событием после отчетной даты.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Событиями после отчетной даты считать: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изменение  кадастровой стоимости нефинансовых активов;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возникновение право на недвижимое имущество после регистрации;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оценка активов, результаты которой свидетельствуют об изменении их стоимости;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обнаружение бухгалтерской ошибки, нарушение законодательства, которые влекут к искажению бухгалтерской отчетности;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операции, связанные с приобретением и выбытием нефинансовых активов;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- чрезвычайные ситуации (пожар, авария, стихийное бедствие и другие) в результате которых может быть уничтожена значительная часть активов учреждения;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другие;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Квалифицировать событие как событие после отчетной даты может главный бухгалтер (заместитель главного бухгалтера) на основе своего профессионального суждения.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</w:t>
      </w:r>
      <w:r>
        <w:rPr>
          <w:sz w:val="24"/>
          <w:szCs w:val="24"/>
          <w:rFonts w:ascii="Times New Roman" w:cs="Times New Roman" w:hAnsi="Times New Roman"/>
        </w:rPr>
        <w:t xml:space="preserve">Дату отражения указанных событий необходимо отразить в последний день отчетного периода датой первичного документа, подтверждающего событие после отчетной даты.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</w:t>
      </w:r>
      <w:r>
        <w:rPr>
          <w:sz w:val="24"/>
          <w:szCs w:val="24"/>
          <w:rFonts w:ascii="Times New Roman" w:cs="Times New Roman" w:hAnsi="Times New Roman"/>
        </w:rPr>
        <w:t>Данные принятых к учету первичных документов систематизируются по датам совершения операций (в хронологическом порядке) и отражаются накопительным способом в регистрах бюджетного учета.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Расходы будущих периодов</w:t>
      </w:r>
    </w:p>
    <w:p>
      <w:pPr>
        <w:pStyle w:val="style24"/>
        <w:jc w:val="center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rFonts w:ascii="Times New Roman" w:cs="Times New Roman" w:hAnsi="Times New Roman"/>
        </w:rPr>
        <w:t xml:space="preserve">По </w:t>
      </w:r>
      <w:r>
        <w:rPr>
          <w:sz w:val="24"/>
          <w:szCs w:val="24"/>
          <w:bCs/>
          <w:rFonts w:ascii="Times New Roman" w:cs="Times New Roman" w:hAnsi="Times New Roman"/>
        </w:rPr>
        <w:t>счету 040150000 «Расходы будущих периодов» отражаются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затраты, произведенные учреждением в отчетном периоде, но относящиеся к следующим отчетным периодам</w:t>
      </w:r>
      <w:r>
        <w:rPr>
          <w:sz w:val="24"/>
          <w:shd w:fill="auto"/>
          <w:szCs w:val="24"/>
          <w:rFonts w:ascii="Times New Roman" w:cs="Times New Roman" w:hAnsi="Times New Roman"/>
        </w:rPr>
        <w:t>. А именно:</w:t>
      </w:r>
    </w:p>
    <w:p>
      <w:pPr>
        <w:pStyle w:val="style24"/>
        <w:jc w:val="both"/>
      </w:pPr>
      <w:r>
        <w:rPr>
          <w:sz w:val="24"/>
          <w:shd w:fill="auto"/>
          <w:szCs w:val="24"/>
          <w:rFonts w:ascii="Times New Roman" w:cs="Times New Roman" w:hAnsi="Times New Roman"/>
        </w:rPr>
        <w:t xml:space="preserve"> </w:t>
      </w:r>
      <w:r>
        <w:rPr>
          <w:sz w:val="24"/>
          <w:shd w:fill="auto"/>
          <w:szCs w:val="24"/>
          <w:rFonts w:ascii="Times New Roman" w:cs="Times New Roman" w:hAnsi="Times New Roman"/>
        </w:rPr>
        <w:t>расходов, связанных со страхованием гражданской ответственности</w:t>
      </w:r>
    </w:p>
    <w:p>
      <w:pPr>
        <w:pStyle w:val="style24"/>
        <w:jc w:val="both"/>
      </w:pPr>
      <w:r>
        <w:rPr>
          <w:sz w:val="24"/>
          <w:shd w:fill="auto"/>
          <w:szCs w:val="24"/>
          <w:rFonts w:ascii="Times New Roman" w:cs="Times New Roman" w:hAnsi="Times New Roman"/>
        </w:rPr>
        <w:t>(полиса ОСАГО, КАСКО), расходы будущих периодов признаются</w:t>
      </w:r>
    </w:p>
    <w:p>
      <w:pPr>
        <w:pStyle w:val="style24"/>
        <w:jc w:val="both"/>
      </w:pPr>
      <w:r>
        <w:rPr>
          <w:sz w:val="24"/>
          <w:shd w:fill="auto"/>
          <w:szCs w:val="24"/>
          <w:rFonts w:ascii="Times New Roman" w:cs="Times New Roman" w:hAnsi="Times New Roman"/>
        </w:rPr>
        <w:t>расходами текущего финансового года ежемесячно в течение периода, к</w:t>
      </w:r>
    </w:p>
    <w:p>
      <w:pPr>
        <w:pStyle w:val="style24"/>
        <w:jc w:val="both"/>
      </w:pPr>
      <w:r>
        <w:rPr>
          <w:sz w:val="24"/>
          <w:shd w:fill="auto"/>
          <w:szCs w:val="24"/>
          <w:rFonts w:ascii="Times New Roman" w:cs="Times New Roman" w:hAnsi="Times New Roman"/>
        </w:rPr>
        <w:t>которому они относятся;</w:t>
      </w:r>
    </w:p>
    <w:p>
      <w:pPr>
        <w:pStyle w:val="style24"/>
        <w:jc w:val="both"/>
      </w:pPr>
      <w:r>
        <w:rPr>
          <w:sz w:val="24"/>
          <w:shd w:fill="auto"/>
          <w:szCs w:val="24"/>
          <w:rFonts w:ascii="Times New Roman" w:cs="Times New Roman" w:hAnsi="Times New Roman"/>
        </w:rPr>
        <w:t>- расходов, связанных с приобретением неисключительного права</w:t>
      </w:r>
    </w:p>
    <w:p>
      <w:pPr>
        <w:pStyle w:val="style24"/>
        <w:jc w:val="both"/>
      </w:pPr>
      <w:r>
        <w:rPr>
          <w:sz w:val="24"/>
          <w:shd w:fill="auto"/>
          <w:szCs w:val="24"/>
          <w:rFonts w:ascii="Times New Roman" w:cs="Times New Roman" w:hAnsi="Times New Roman"/>
        </w:rPr>
        <w:t>пользования нематериальными активами в течение нескольких отчетных</w:t>
      </w:r>
    </w:p>
    <w:p>
      <w:pPr>
        <w:pStyle w:val="style24"/>
        <w:jc w:val="both"/>
      </w:pPr>
      <w:r>
        <w:rPr>
          <w:sz w:val="24"/>
          <w:shd w:fill="auto"/>
          <w:szCs w:val="24"/>
          <w:rFonts w:ascii="Times New Roman" w:cs="Times New Roman" w:hAnsi="Times New Roman"/>
        </w:rPr>
        <w:t>периодов.</w:t>
      </w:r>
      <w:r>
        <w:rPr>
          <w:sz w:val="24"/>
          <w:shd w:fill="auto"/>
          <w:szCs w:val="24"/>
          <w:rFonts w:ascii="Times New Roman" w:cs="Times New Roman" w:hAnsi="Times New Roman"/>
        </w:rPr>
        <w:t xml:space="preserve"> </w:t>
      </w:r>
      <w:r>
        <w:rPr>
          <w:sz w:val="24"/>
          <w:shd w:fill="auto"/>
          <w:szCs w:val="24"/>
          <w:rFonts w:ascii="Times New Roman" w:cs="Times New Roman" w:hAnsi="Times New Roman"/>
        </w:rPr>
        <w:t>Данные затраты отражаются пропорционально объему работ, услуг, исходя из количества месяцев в периоде для неисключительных лицензионных  прав на программное обеспечение со сроком действия 5 лет и более, а также  бессрочно, а для неисключительных лицензионных  прав на программное обеспечение со сроком действия менее 5 лет и для отпусков исходя из количества календарных дней в периоде, к которому они относятся</w:t>
      </w:r>
      <w:r>
        <w:rPr>
          <w:sz w:val="24"/>
          <w:shd w:fill="auto"/>
          <w:szCs w:val="24"/>
          <w:rFonts w:ascii="Times New Roman" w:cs="Times New Roman" w:hAnsi="Times New Roman"/>
        </w:rPr>
        <w:t>.</w:t>
      </w:r>
    </w:p>
    <w:p>
      <w:pPr>
        <w:pStyle w:val="style24"/>
        <w:jc w:val="both"/>
      </w:pPr>
      <w:r>
        <w:rPr>
          <w:sz w:val="24"/>
          <w:shd w:fill="auto"/>
          <w:szCs w:val="24"/>
          <w:rFonts w:ascii="Times New Roman" w:cs="Times New Roman" w:hAnsi="Times New Roman"/>
        </w:rPr>
        <w:t xml:space="preserve">- </w:t>
      </w:r>
      <w:r>
        <w:rPr>
          <w:sz w:val="24"/>
          <w:shd w:fill="auto"/>
          <w:szCs w:val="24"/>
          <w:rFonts w:ascii="Times New Roman" w:cs="Times New Roman" w:hAnsi="Times New Roman"/>
        </w:rPr>
        <w:t>расходов , связанных с выплатой отпускных и страховых взносов</w:t>
      </w:r>
      <w:r>
        <w:rPr>
          <w:sz w:val="24"/>
          <w:shd w:fill="auto"/>
          <w:szCs w:val="24"/>
          <w:rFonts w:ascii="Times New Roman" w:cs="Times New Roman" w:hAnsi="Times New Roman"/>
        </w:rPr>
        <w:t>.</w:t>
      </w:r>
      <w:r>
        <w:rPr>
          <w:sz w:val="24"/>
          <w:shd w:fill="auto"/>
          <w:szCs w:val="24"/>
          <w:rFonts w:ascii="Times New Roman" w:cs="Times New Roman" w:hAnsi="Times New Roman"/>
        </w:rPr>
        <w:t xml:space="preserve"> Данные затраты отражаются пропорционально объему работ, услуг, исходя из количества календарных дней в периоде, к которому они относятся</w:t>
      </w:r>
      <w:r>
        <w:rPr>
          <w:sz w:val="24"/>
          <w:shd w:fill="auto"/>
          <w:szCs w:val="24"/>
          <w:rFonts w:ascii="Times New Roman" w:cs="Times New Roman" w:hAnsi="Times New Roman"/>
        </w:rPr>
        <w:t>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  <w:lang w:eastAsia="ru-RU"/>
        </w:rPr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Резервы предстоящих расходов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rFonts w:ascii="Times New Roman" w:cs="Times New Roman" w:hAnsi="Times New Roman"/>
        </w:rPr>
        <w:t>1. Обязательства для предстоящей оплаты отпусков за фактически отработанное время или компенсаций за использованный отпуск, в том числе при увольнении, включая платежи на обязательное социальное страхование сотрудника отражаются на счете 0 401 60 000 «Резервы предстоящих расходов».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rFonts w:ascii="Times New Roman" w:cs="Times New Roman" w:hAnsi="Times New Roman"/>
        </w:rPr>
        <w:t>2. Резервы формируются по методу начисления, предусматривающему отражение расходов в том периоде, к которому они относятся, независимо от того, когда выплачены денежные средства.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rFonts w:ascii="Times New Roman" w:cs="Times New Roman" w:hAnsi="Times New Roman"/>
        </w:rPr>
        <w:t>3.  Начисление резерва производится один раз в год по состоянию на 31 декабря на основании информации, предоставленной кадровой службой.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rFonts w:ascii="Times New Roman" w:cs="Times New Roman" w:hAnsi="Times New Roman"/>
        </w:rPr>
        <w:t>Расчет суммы резерва осуществляется по следующей формуле: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Резерв= </w:t>
      </w:r>
      <w:r>
        <w:rPr>
          <w:sz w:val="24"/>
          <w:szCs w:val="24"/>
          <w:rFonts w:ascii="Times New Roman" w:cs="Times New Roman" w:hAnsi="Times New Roman"/>
          <w:lang w:val="en-US"/>
        </w:rPr>
        <w:t>K</w:t>
      </w:r>
      <w:r>
        <w:rPr>
          <w:sz w:val="24"/>
          <w:szCs w:val="24"/>
          <w:rFonts w:ascii="Times New Roman" w:cs="Times New Roman" w:hAnsi="Times New Roman"/>
        </w:rPr>
        <w:t xml:space="preserve"> х ЗПср, где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К — общее количество неиспользованных всеми сотрудниками дней отпуска за период с начало работы на дату расчета (конец года) в целом по организации;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ЗПср — средняя заработная плата по всем сотрудникам организации в целом.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</w:t>
      </w:r>
      <w:r>
        <w:rPr>
          <w:sz w:val="24"/>
          <w:szCs w:val="24"/>
          <w:rFonts w:ascii="Times New Roman" w:cs="Times New Roman" w:hAnsi="Times New Roman"/>
        </w:rPr>
        <w:t>4. Учет операций по формированию резерва на оплату предстоящих отпусков осуществляется на следующих счетах: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 </w:t>
      </w:r>
      <w:r>
        <w:rPr>
          <w:sz w:val="24"/>
          <w:szCs w:val="24"/>
          <w:rFonts w:ascii="Times New Roman" w:cs="Times New Roman" w:hAnsi="Times New Roman"/>
        </w:rPr>
        <w:t>0 401 60 211 «Резерв на оплату отпусков за фактически отработанное время в части выплат персоналу»;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 </w:t>
      </w:r>
      <w:r>
        <w:rPr>
          <w:sz w:val="24"/>
          <w:szCs w:val="24"/>
          <w:rFonts w:ascii="Times New Roman" w:cs="Times New Roman" w:hAnsi="Times New Roman"/>
        </w:rPr>
        <w:t>0 401 60 213 « Резерв на оплату отпусков за фактически отработанное время в части оплаты страховых взносов».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</w:t>
      </w:r>
      <w:r>
        <w:rPr>
          <w:sz w:val="24"/>
          <w:szCs w:val="24"/>
          <w:rFonts w:ascii="Times New Roman" w:cs="Times New Roman" w:hAnsi="Times New Roman"/>
        </w:rPr>
        <w:t>5. Операции по начислению и расходованию резерва в бюджетном учете отражаются следующими бухгалтерскими записями: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bCs/>
          <w:rFonts w:ascii="Times New Roman" w:cs="Times New Roman" w:hAnsi="Times New Roman"/>
        </w:rPr>
        <w:t>- начисление резерва на оплату предстоящих отпусков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rFonts w:ascii="Times New Roman" w:cs="Times New Roman" w:hAnsi="Times New Roman"/>
        </w:rPr>
        <w:t>дебет счета 1 401 20 211 «Расходы по заработной плате»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</w:t>
      </w:r>
      <w:r>
        <w:rPr>
          <w:sz w:val="24"/>
          <w:szCs w:val="24"/>
          <w:rFonts w:ascii="Times New Roman" w:cs="Times New Roman" w:hAnsi="Times New Roman"/>
        </w:rPr>
        <w:t>кредит счета 1 401 60 211 « Резерв на оплату отпусков за фактически отработанное время в части выплат персоналу»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bCs/>
          <w:rFonts w:ascii="Times New Roman" w:cs="Times New Roman" w:hAnsi="Times New Roman"/>
        </w:rPr>
        <w:t>- начисление платежей на обязательное социальное страхование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</w:t>
      </w:r>
      <w:r>
        <w:rPr>
          <w:sz w:val="24"/>
          <w:szCs w:val="24"/>
          <w:rFonts w:ascii="Times New Roman" w:cs="Times New Roman" w:hAnsi="Times New Roman"/>
        </w:rPr>
        <w:t>дебет счета 1 401 20 213 « Расходы на начисления на выплаты по оплате труда»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  </w:t>
      </w:r>
      <w:r>
        <w:rPr>
          <w:sz w:val="24"/>
          <w:szCs w:val="24"/>
          <w:rFonts w:ascii="Times New Roman" w:cs="Times New Roman" w:hAnsi="Times New Roman"/>
        </w:rPr>
        <w:t>кредит счета 1 401 60 213 « Резерв на оплату отпусков за фактически отработанное время в части оплаты страховых взносов»;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bCs/>
          <w:rFonts w:ascii="Times New Roman" w:cs="Times New Roman" w:hAnsi="Times New Roman"/>
        </w:rPr>
        <w:t>- отложенные обязательства на сумму резерва на оплату предстоящих отпусков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  </w:t>
      </w:r>
      <w:r>
        <w:rPr>
          <w:sz w:val="24"/>
          <w:szCs w:val="24"/>
          <w:rFonts w:ascii="Times New Roman" w:cs="Times New Roman" w:hAnsi="Times New Roman"/>
        </w:rPr>
        <w:t>дебет счета 1 501 93 211 «Лимиты бюджетных обязательств на иные очередные годы (за пределами планового периода)по заработной плате»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 </w:t>
      </w:r>
      <w:r>
        <w:rPr>
          <w:sz w:val="24"/>
          <w:szCs w:val="24"/>
          <w:rFonts w:ascii="Times New Roman" w:cs="Times New Roman" w:hAnsi="Times New Roman"/>
        </w:rPr>
        <w:t>кредит счета 1 502 99 211 «Отложенные обязательства на иные очередные годы (за пределами планового периода) по заработной плате»;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bCs/>
          <w:rFonts w:ascii="Times New Roman" w:cs="Times New Roman" w:hAnsi="Times New Roman"/>
        </w:rPr>
        <w:t>- отложенные обязательства на сумму резерва на оплату страховых взносов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  </w:t>
      </w:r>
      <w:r>
        <w:rPr>
          <w:sz w:val="24"/>
          <w:szCs w:val="24"/>
          <w:rFonts w:ascii="Times New Roman" w:cs="Times New Roman" w:hAnsi="Times New Roman"/>
        </w:rPr>
        <w:t>дебет счета 1 501 93 213 «Лимиты бюджетных обязательств на иные очередные годы (за пределами планового периода) по начислениям на выплаты по оплате труда»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 </w:t>
      </w:r>
      <w:r>
        <w:rPr>
          <w:sz w:val="24"/>
          <w:szCs w:val="24"/>
          <w:rFonts w:ascii="Times New Roman" w:cs="Times New Roman" w:hAnsi="Times New Roman"/>
        </w:rPr>
        <w:t>кредит счета 1 502 99 213 «Отложенные обязательства на иные очередные годы (за пределами планового периода) по начислениям на выплаты по оплате труда»;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  <w:t xml:space="preserve">        </w:t>
      </w:r>
      <w:r>
        <w:rPr>
          <w:sz w:val="24"/>
          <w:szCs w:val="24"/>
          <w:bCs/>
          <w:rFonts w:ascii="Times New Roman" w:cs="Times New Roman" w:hAnsi="Times New Roman"/>
        </w:rPr>
        <w:t>- использование резерва в части выплат персоналу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rFonts w:ascii="Times New Roman" w:cs="Times New Roman" w:hAnsi="Times New Roman"/>
        </w:rPr>
        <w:t>дебет счета 1 401 60 211 «Резерв на оплату отпусков за фактически отработанное время в части выплат персоналу»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rFonts w:ascii="Times New Roman" w:cs="Times New Roman" w:hAnsi="Times New Roman"/>
        </w:rPr>
        <w:t>кредит счета 1 302 11 730 «Увеличение кредиторской задолженности по заработной плате»;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  <w:t xml:space="preserve">        </w:t>
      </w:r>
      <w:r>
        <w:rPr>
          <w:sz w:val="24"/>
          <w:szCs w:val="24"/>
          <w:bCs/>
          <w:rFonts w:ascii="Times New Roman" w:cs="Times New Roman" w:hAnsi="Times New Roman"/>
        </w:rPr>
        <w:t>- использование резерва в части оплаты страховых взносов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</w:t>
      </w:r>
      <w:r>
        <w:rPr>
          <w:sz w:val="24"/>
          <w:szCs w:val="24"/>
          <w:rFonts w:ascii="Times New Roman" w:cs="Times New Roman" w:hAnsi="Times New Roman"/>
        </w:rPr>
        <w:t>дебет счета 1 401 60 213 «Резерв на оплату отпусков за фактически отработанное время в части оплаты страховых взносов»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rFonts w:ascii="Times New Roman" w:cs="Times New Roman" w:hAnsi="Times New Roman"/>
        </w:rPr>
        <w:t>кредит соответствующих счетов аналитического учета счета 1 303 00 000 «Расчеты по платежам в бюджет»;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bCs/>
          <w:rFonts w:ascii="Times New Roman" w:cs="Times New Roman" w:hAnsi="Times New Roman"/>
        </w:rPr>
        <w:t>- «сторно» отложенных обязательств на сумму резерва на оплату предстоящих отпусков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rFonts w:ascii="Times New Roman" w:cs="Times New Roman" w:hAnsi="Times New Roman"/>
        </w:rPr>
        <w:t>дебет счета 1 501 93 211 «Лимиты бюджетных обязательств на иные очередные годы (за пределами планового периода) по заработной плате»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rFonts w:ascii="Times New Roman" w:cs="Times New Roman" w:hAnsi="Times New Roman"/>
        </w:rPr>
        <w:t>кредит счета 1 502 99 211 «Отложенные обязательства на иные очередные годы (за пределами планового периода) по заработной плате»;</w:t>
      </w:r>
    </w:p>
    <w:p>
      <w:pPr>
        <w:pStyle w:val="style24"/>
        <w:jc w:val="both"/>
      </w:pPr>
      <w:r>
        <w:rPr>
          <w:sz w:val="24"/>
          <w:szCs w:val="24"/>
          <w:bCs/>
          <w:rFonts w:ascii="Times New Roman" w:cs="Times New Roman" w:hAnsi="Times New Roman"/>
        </w:rPr>
        <w:t xml:space="preserve">         </w:t>
      </w:r>
      <w:r>
        <w:rPr>
          <w:sz w:val="24"/>
          <w:szCs w:val="24"/>
          <w:bCs/>
          <w:rFonts w:ascii="Times New Roman" w:cs="Times New Roman" w:hAnsi="Times New Roman"/>
        </w:rPr>
        <w:t xml:space="preserve">- «сторно» отложенных обязательств на сумму резерва на оплату страховых взносов 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rFonts w:ascii="Times New Roman" w:cs="Times New Roman" w:hAnsi="Times New Roman"/>
        </w:rPr>
        <w:t>дебет счета 1 501 93 213 «Лимиты бюджетных обязательств на иные очередные годы (за пределами планового года) по начислениям на выплаты по оплате труда»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</w:t>
      </w:r>
      <w:r>
        <w:rPr>
          <w:sz w:val="24"/>
          <w:szCs w:val="24"/>
          <w:rFonts w:ascii="Times New Roman" w:cs="Times New Roman" w:hAnsi="Times New Roman"/>
        </w:rPr>
        <w:t>кредит счета 1 502 99 213 « Отложенные обязательства на иные очередные годы (за пределами планового периода) по начислениям на выплаты по оплате труда».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Забалансовые счета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Счет 34 «Задолженность по отмененному единому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социальному налогу, образовавшаяся на 01.01.2010 г.»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</w:t>
      </w:r>
      <w:r>
        <w:rPr>
          <w:sz w:val="24"/>
          <w:szCs w:val="24"/>
          <w:rFonts w:ascii="Times New Roman" w:cs="Times New Roman" w:hAnsi="Times New Roman"/>
        </w:rPr>
        <w:t>Счет предназначен для учета региональным отделением задолженности за страхователями, в том числе реорганизованными, по отмененному единому социальному налогу, образовавшейся на 01 января 2010 года, пеням и штрафам, начисленным по результатам проверок.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Списание сумм со счета производится по мере поступления сумм на лицевые счета территориальных органов Фонда, открытых в органах Федерального казначейства.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Учет на счете ведется без аналитики по страхователям.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center"/>
      </w:pPr>
      <w:r>
        <w:rPr>
          <w:sz w:val="24"/>
          <w:b/>
          <w:szCs w:val="24"/>
          <w:iCs/>
          <w:bCs/>
          <w:rFonts w:ascii="Times New Roman" w:cs="Times New Roman" w:hAnsi="Times New Roman"/>
        </w:rPr>
        <w:t>Счет 50</w:t>
      </w:r>
      <w:r>
        <w:rPr>
          <w:sz w:val="24"/>
          <w:b/>
          <w:szCs w:val="24"/>
          <w:rFonts w:ascii="Times New Roman" w:cs="Times New Roman" w:hAnsi="Times New Roman"/>
        </w:rPr>
        <w:t xml:space="preserve"> «Задолженность за страхователями по страховым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взносам, пеням и штрафам на обязательное социальное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страхование на случай временной нетрудоспособности и в связи с материнством за расчетные периоды, истекшие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до 1 января 2017 года, переданная ФНС».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</w:t>
      </w:r>
      <w:r>
        <w:rPr>
          <w:sz w:val="24"/>
          <w:szCs w:val="24"/>
          <w:rFonts w:ascii="Times New Roman" w:cs="Times New Roman" w:hAnsi="Times New Roman"/>
        </w:rPr>
        <w:t>Счет предназначен для учета региональными отделениями задолженности за страхователями по страховым взносам, пеням и штрафам на обязательное социальное страхование на случай временной нетрудоспособности и в связи с материнством за расчетные периоды, истекшие до 1 января 2017 года, переданной Федеральной налоговой службе.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Забалансовый счет 50 детализирован счетами: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50.1 «Страховые взносы»;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50.2 «Пени»;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50.3 «Штрафы».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Бухгалтерские записи по счету производятся на основании решений регионального отделения о доначислении (уменьшении) страховых взносов и поступления сумм на лицевые счета регионального отделения, открытые в органах Федерального казначейства, в счет погашения недоимки.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Учет на забалансовом счете ведется по контрагентам.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center"/>
      </w:pPr>
      <w:r>
        <w:rPr>
          <w:sz w:val="24"/>
          <w:b/>
          <w:szCs w:val="24"/>
          <w:iCs/>
          <w:bCs/>
          <w:rFonts w:ascii="Times New Roman" w:cs="Times New Roman" w:hAnsi="Times New Roman"/>
        </w:rPr>
        <w:t xml:space="preserve">Счет 60 </w:t>
      </w:r>
      <w:r>
        <w:rPr>
          <w:sz w:val="24"/>
          <w:b/>
          <w:szCs w:val="24"/>
          <w:rFonts w:ascii="Times New Roman" w:cs="Times New Roman" w:hAnsi="Times New Roman"/>
        </w:rPr>
        <w:t>«Кредиторская задолженность Фонда по страховым взносам на обязательное социальное страхование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на случай временной нетрудоспособности и в связи с материнством (пеням и штрафам) за расчетные периоды,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  <w:t>истекшие до 1 января 2017 года, переданная ФНС»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</w:t>
      </w:r>
      <w:r>
        <w:rPr>
          <w:sz w:val="24"/>
          <w:szCs w:val="24"/>
          <w:rFonts w:ascii="Times New Roman" w:cs="Times New Roman" w:hAnsi="Times New Roman"/>
        </w:rPr>
        <w:t>Счет предназначен для учета региональным отделением кредиторской задолженности Фонда по страховым взносам на обязательное социальное страхование на случай временной нетрудоспособности и в связи с материнством, а также пеням и штрафам за расчетные периоды, истекшие до 1 января 2017 года, переданной Федеральной налоговой службе.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Забалансовый счет 60 детализирован счетами: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60.1 «Превышение расходов, переплата страховых взносов»;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60.2 «Пени»;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60.3 «Штрафы».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Списание со счета производится на основании решений регионального отделения о перечислении страхователям сумм возмещения произведенных расходов, а также на основании полученной из УФНС информации о перечисленных страхователям сумм излишне уплаченных страховых взносов.</w:t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  <w:t>Учет на забалансовом счете ведется по контрагентам.</w:t>
      </w:r>
    </w:p>
    <w:p>
      <w:pPr>
        <w:pStyle w:val="style24"/>
        <w:jc w:val="center"/>
      </w:pPr>
      <w:r>
        <w:rPr>
          <w:sz w:val="24"/>
          <w:b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</w:pPr>
      <w:r>
        <w:rPr/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24"/>
        <w:jc w:val="both"/>
      </w:pPr>
      <w:r>
        <w:rPr/>
      </w:r>
    </w:p>
    <w:sectPr>
      <w:formProt w:val="off"/>
      <w:pgSz w:h="16838" w:w="11906"/>
      <w:docGrid w:charSpace="214746316" w:linePitch="360" w:type="default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8" w:val="left"/>
      </w:tabs>
      <w:suppressAutoHyphens w:val="true"/>
      <w:autoSpaceDE w:val="true"/>
      <w:overflowPunct w:val="true"/>
      <w:kinsoku w:val="true"/>
      <w:docGrid w:charSpace="36864" w:linePitch="600" w:type="default"/>
      <w:spacing w:after="160" w:before="0" w:line="259" w:lineRule="atLeast"/>
    </w:pPr>
    <w:rPr>
      <w:color w:val="auto"/>
      <w:sz w:val="22"/>
      <w:szCs w:val="22"/>
      <w:rFonts w:ascii="Calibri" w:cs="Tahoma" w:eastAsia="SimSun" w:hAnsi="Calibri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next w:val="style16"/>
    <w:rPr>
      <w:color w:val="0000FF"/>
      <w:u w:val="single"/>
      <w:lang w:bidi="ru-RU" w:eastAsia="ru-RU" w:val="ru-RU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sz w:val="28"/>
      <w:szCs w:val="28"/>
      <w:rFonts w:ascii="Arial" w:cs="Mangal" w:eastAsia="Microsoft YaHei" w:hAnsi="Arial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Заголовок"/>
    <w:basedOn w:val="style17"/>
    <w:next w:val="style20"/>
    <w:pPr/>
    <w:rPr/>
  </w:style>
  <w:style w:styleId="style20" w:type="paragraph">
    <w:name w:val="Подзаголовок"/>
    <w:basedOn w:val="style17"/>
    <w:next w:val="style18"/>
    <w:pPr>
      <w:jc w:val="center"/>
    </w:pPr>
    <w:rPr>
      <w:sz w:val="28"/>
      <w:i/>
      <w:szCs w:val="28"/>
      <w:iCs/>
    </w:rPr>
  </w:style>
  <w:style w:styleId="style21" w:type="paragraph">
    <w:name w:val="Список"/>
    <w:basedOn w:val="style18"/>
    <w:next w:val="style21"/>
    <w:pPr/>
    <w:rPr>
      <w:rFonts w:cs="Mangal"/>
    </w:rPr>
  </w:style>
  <w:style w:styleId="style22" w:type="paragraph">
    <w:name w:val="Название"/>
    <w:basedOn w:val="style0"/>
    <w:next w:val="style22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23" w:type="paragraph">
    <w:name w:val="Указатель"/>
    <w:basedOn w:val="style0"/>
    <w:next w:val="style23"/>
    <w:pPr>
      <w:suppressLineNumbers/>
    </w:pPr>
    <w:rPr>
      <w:rFonts w:cs="Mangal"/>
    </w:rPr>
  </w:style>
  <w:style w:styleId="style24" w:type="paragraph">
    <w:name w:val="No Spacing"/>
    <w:next w:val="style24"/>
    <w:pPr>
      <w:jc w:val="left"/>
      <w:widowControl/>
      <w:tabs>
        <w:tab w:leader="none" w:pos="708" w:val="left"/>
      </w:tabs>
      <w:suppressAutoHyphens w:val="true"/>
      <w:autoSpaceDE w:val="true"/>
      <w:overflowPunct w:val="true"/>
      <w:kinsoku w:val="true"/>
      <w:docGrid w:charSpace="36864" w:linePitch="600" w:type="default"/>
      <w:spacing w:after="0" w:before="0" w:line="100" w:lineRule="atLeast"/>
    </w:pPr>
    <w:rPr>
      <w:color w:val="auto"/>
      <w:sz w:val="22"/>
      <w:szCs w:val="22"/>
      <w:rFonts w:ascii="Calibri" w:cs="Tahoma" w:eastAsia="SimSun" w:hAnsi="Calibri"/>
      <w:lang w:bidi="ar-SA" w:eastAsia="en-US" w:val="ru-RU"/>
    </w:rPr>
  </w:style>
  <w:style w:styleId="style25" w:type="paragraph">
    <w:name w:val="Normal (Web)"/>
    <w:basedOn w:val="style0"/>
    <w:next w:val="style25"/>
    <w:pPr>
      <w:spacing w:after="100" w:before="100" w:line="100" w:lineRule="atLeast"/>
    </w:pPr>
    <w:rPr>
      <w:sz w:val="24"/>
      <w:szCs w:val="24"/>
      <w:rFonts w:ascii="Times New Roman" w:cs="Times New Roman" w:eastAsia="Times New Roman" w:hAnsi="Times New Roman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Application>OpenOffice/4.1.6$Win32 OpenOffice.org_project/416m1$Build-9790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2019-12-15T16:37:00.00Z</dcterms:created>
  <dc:creator>1</dc:creator>
  <cp:lastModifiedBy>Елена В</cp:lastModifiedBy>
  <dcterms:modified xsi:type="dcterms:W3CDTF">2019-12-30T10:10:29.00Z</dcterms:modified>
  <cp:revision>11</cp:revision>
</cp:coreProperties>
</file>